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B1CA0" w14:textId="09788BE0" w:rsidR="000A6B55" w:rsidRPr="00B072DC" w:rsidRDefault="000A6B55" w:rsidP="00874E86">
      <w:pPr>
        <w:pStyle w:val="NormalWeb"/>
        <w:shd w:val="clear" w:color="auto" w:fill="FFFFFF"/>
        <w:spacing w:before="0" w:beforeAutospacing="0" w:after="0" w:afterAutospacing="0"/>
        <w:rPr>
          <w:rFonts w:asciiTheme="minorHAnsi" w:hAnsiTheme="minorHAnsi" w:cstheme="minorHAnsi"/>
          <w:b/>
          <w:bCs/>
          <w:color w:val="538135" w:themeColor="accent6" w:themeShade="BF"/>
        </w:rPr>
      </w:pPr>
      <w:r w:rsidRPr="00B072DC">
        <w:rPr>
          <w:rFonts w:asciiTheme="minorHAnsi" w:hAnsiTheme="minorHAnsi" w:cstheme="minorHAnsi"/>
          <w:b/>
          <w:bCs/>
          <w:color w:val="538135" w:themeColor="accent6" w:themeShade="BF"/>
        </w:rPr>
        <w:t>NATIONAL GRANTS</w:t>
      </w:r>
    </w:p>
    <w:p w14:paraId="709AC0C7" w14:textId="77777777" w:rsidR="00874E86" w:rsidRPr="00B072DC" w:rsidRDefault="00874E86" w:rsidP="00874E86">
      <w:pPr>
        <w:pStyle w:val="NormalWeb"/>
        <w:shd w:val="clear" w:color="auto" w:fill="FFFFFF"/>
        <w:spacing w:before="0" w:beforeAutospacing="0" w:after="0" w:afterAutospacing="0"/>
        <w:rPr>
          <w:rFonts w:asciiTheme="minorHAnsi" w:hAnsiTheme="minorHAnsi" w:cstheme="minorHAnsi"/>
          <w:b/>
          <w:bCs/>
          <w:color w:val="538135" w:themeColor="accent6" w:themeShade="BF"/>
        </w:rPr>
      </w:pPr>
    </w:p>
    <w:p w14:paraId="3A4F4F99" w14:textId="70CC960E" w:rsidR="00874E86" w:rsidRPr="00FC3D40" w:rsidRDefault="000A6B55" w:rsidP="00874E86">
      <w:pPr>
        <w:pStyle w:val="NormalWeb"/>
        <w:shd w:val="clear" w:color="auto" w:fill="FFFFFF"/>
        <w:spacing w:before="0" w:beforeAutospacing="0" w:after="0" w:afterAutospacing="0"/>
        <w:rPr>
          <w:rFonts w:asciiTheme="minorHAnsi" w:hAnsiTheme="minorHAnsi" w:cstheme="minorHAnsi"/>
          <w:b/>
          <w:bCs/>
        </w:rPr>
      </w:pPr>
      <w:r w:rsidRPr="00FC3D40">
        <w:rPr>
          <w:rFonts w:asciiTheme="minorHAnsi" w:hAnsiTheme="minorHAnsi" w:cstheme="minorHAnsi"/>
          <w:b/>
          <w:bCs/>
        </w:rPr>
        <w:t>THE INSTITUTE OF MUSEUM AND LIBRARY SERVICES (IMLS)</w:t>
      </w:r>
    </w:p>
    <w:p w14:paraId="0F37BE85" w14:textId="0FAD667E" w:rsidR="00874E86" w:rsidRPr="00FC3D40" w:rsidRDefault="00FC3D40" w:rsidP="00874E86">
      <w:pPr>
        <w:pStyle w:val="NormalWeb"/>
        <w:shd w:val="clear" w:color="auto" w:fill="FFFFFF"/>
        <w:spacing w:before="0" w:beforeAutospacing="0" w:after="0" w:afterAutospacing="0"/>
        <w:rPr>
          <w:rFonts w:asciiTheme="minorHAnsi" w:hAnsiTheme="minorHAnsi" w:cstheme="minorHAnsi"/>
        </w:rPr>
      </w:pPr>
      <w:hyperlink r:id="rId7" w:tgtFrame="_blank" w:history="1">
        <w:r w:rsidR="000A6B55" w:rsidRPr="00FC3D40">
          <w:rPr>
            <w:rStyle w:val="Hyperlink"/>
            <w:rFonts w:asciiTheme="minorHAnsi" w:hAnsiTheme="minorHAnsi" w:cstheme="minorHAnsi"/>
            <w:color w:val="auto"/>
          </w:rPr>
          <w:t>INSPIRE! Grants for Small Museums</w:t>
        </w:r>
      </w:hyperlink>
      <w:r w:rsidR="000A6B55" w:rsidRPr="00FC3D40">
        <w:rPr>
          <w:rFonts w:asciiTheme="minorHAnsi" w:hAnsiTheme="minorHAnsi" w:cstheme="minorHAnsi"/>
        </w:rPr>
        <w:br/>
        <w:t>Inspire! is a special initiative of the Museums for America program. This special initiative is designed to inspire small museums to apply for and implement projects that address priorities identified in their strategic plans. Inspire! has three project categories: Collections Stewardship and Public Access, Lifelong Learning, and Community Anchors and Catalysts. Grants range from $5,000 - $50,000.  No cost sharing requirement.</w:t>
      </w:r>
    </w:p>
    <w:p w14:paraId="0A41B54F" w14:textId="77777777" w:rsidR="00874E86" w:rsidRPr="00FC3D40" w:rsidRDefault="00874E86" w:rsidP="00874E86">
      <w:pPr>
        <w:pStyle w:val="NormalWeb"/>
        <w:shd w:val="clear" w:color="auto" w:fill="FFFFFF"/>
        <w:spacing w:before="0" w:beforeAutospacing="0" w:after="0" w:afterAutospacing="0"/>
        <w:rPr>
          <w:rFonts w:asciiTheme="minorHAnsi" w:hAnsiTheme="minorHAnsi" w:cstheme="minorHAnsi"/>
          <w:sz w:val="20"/>
          <w:szCs w:val="20"/>
        </w:rPr>
      </w:pPr>
    </w:p>
    <w:p w14:paraId="2D7EC812" w14:textId="3F1B23C3" w:rsidR="000A6B55" w:rsidRPr="00FC3D40" w:rsidRDefault="00FC3D40" w:rsidP="00874E86">
      <w:pPr>
        <w:pStyle w:val="NormalWeb"/>
        <w:shd w:val="clear" w:color="auto" w:fill="FFFFFF"/>
        <w:spacing w:before="0" w:beforeAutospacing="0" w:after="0" w:afterAutospacing="0"/>
        <w:rPr>
          <w:rFonts w:asciiTheme="minorHAnsi" w:hAnsiTheme="minorHAnsi" w:cstheme="minorHAnsi"/>
        </w:rPr>
      </w:pPr>
      <w:hyperlink r:id="rId8" w:tgtFrame="_blank" w:history="1">
        <w:r w:rsidR="000A6B55" w:rsidRPr="00FC3D40">
          <w:rPr>
            <w:rStyle w:val="Hyperlink"/>
            <w:rFonts w:asciiTheme="minorHAnsi" w:hAnsiTheme="minorHAnsi" w:cstheme="minorHAnsi"/>
            <w:color w:val="auto"/>
          </w:rPr>
          <w:t>Museums for America (MFA)</w:t>
        </w:r>
      </w:hyperlink>
      <w:r w:rsidR="000A6B55" w:rsidRPr="00FC3D40">
        <w:rPr>
          <w:rFonts w:asciiTheme="minorHAnsi" w:hAnsiTheme="minorHAnsi" w:cstheme="minorHAnsi"/>
        </w:rPr>
        <w:br/>
        <w:t>The Museums for America (MFA) program supports projects that strengthen the ability of an individual museum to serve its public. MFA has three project categories: Collections Stewardship and Public Access, Lifelong Learning, and Community Anchors and Catalysts. Grants range from $5,000–$250,000 with a cost sharing requirement. </w:t>
      </w:r>
      <w:r w:rsidR="000A6B55" w:rsidRPr="00FC3D40">
        <w:rPr>
          <w:rFonts w:asciiTheme="minorHAnsi" w:hAnsiTheme="minorHAnsi" w:cstheme="minorHAnsi"/>
        </w:rPr>
        <w:br/>
      </w:r>
      <w:r w:rsidR="000A6B55" w:rsidRPr="00FC3D40">
        <w:rPr>
          <w:rFonts w:asciiTheme="minorHAnsi" w:hAnsiTheme="minorHAnsi" w:cstheme="minorHAnsi"/>
        </w:rPr>
        <w:br/>
      </w:r>
      <w:hyperlink r:id="rId9" w:tgtFrame="_blank" w:history="1">
        <w:r w:rsidR="000A6B55" w:rsidRPr="00FC3D40">
          <w:rPr>
            <w:rStyle w:val="Hyperlink"/>
            <w:rFonts w:asciiTheme="minorHAnsi" w:hAnsiTheme="minorHAnsi" w:cstheme="minorHAnsi"/>
            <w:color w:val="auto"/>
          </w:rPr>
          <w:t>Native American/ Native Hawaiian Services Program</w:t>
        </w:r>
      </w:hyperlink>
      <w:r w:rsidR="000A6B55" w:rsidRPr="00FC3D40">
        <w:rPr>
          <w:rFonts w:asciiTheme="minorHAnsi" w:hAnsiTheme="minorHAnsi" w:cstheme="minorHAnsi"/>
        </w:rPr>
        <w:br/>
        <w:t>Native American/Native Hawaiian Museum Services (NANH) grants support Indian tribes and organizations that primarily serve and represent Native Hawaiians. They are intended to provide opportunities to sustain heritage, culture, and knowledge through strengthened activities in areas such as collections stewardship, exhibitions, educational services and programming, and professional development.  Grants range from $5,000 - $100,000.  No cost sharing requirement.</w:t>
      </w:r>
      <w:r w:rsidR="000A6B55" w:rsidRPr="00FC3D40">
        <w:rPr>
          <w:rFonts w:asciiTheme="minorHAnsi" w:hAnsiTheme="minorHAnsi" w:cstheme="minorHAnsi"/>
        </w:rPr>
        <w:br/>
      </w:r>
      <w:r w:rsidR="000A6B55" w:rsidRPr="00FC3D40">
        <w:rPr>
          <w:rFonts w:asciiTheme="minorHAnsi" w:hAnsiTheme="minorHAnsi" w:cstheme="minorHAnsi"/>
        </w:rPr>
        <w:br/>
      </w:r>
      <w:hyperlink r:id="rId10" w:tgtFrame="_blank" w:history="1">
        <w:r w:rsidR="000A6B55" w:rsidRPr="00FC3D40">
          <w:rPr>
            <w:rStyle w:val="Hyperlink"/>
            <w:rFonts w:asciiTheme="minorHAnsi" w:hAnsiTheme="minorHAnsi" w:cstheme="minorHAnsi"/>
            <w:color w:val="auto"/>
          </w:rPr>
          <w:t>Museum Grants for African American History and Culture</w:t>
        </w:r>
      </w:hyperlink>
      <w:r w:rsidR="000A6B55" w:rsidRPr="00FC3D40">
        <w:rPr>
          <w:rFonts w:asciiTheme="minorHAnsi" w:hAnsiTheme="minorHAnsi" w:cstheme="minorHAnsi"/>
        </w:rPr>
        <w:br/>
        <w:t>Museum Grants for African American History and Culture support activities that build the capacity of African American museums and support the growth and development of museum professionals at African American museums.  Grants range from $5,000-$250,000. No cost sharing is required for applications requesting amounts from $5,000-$50,000.</w:t>
      </w:r>
      <w:r w:rsidR="000A6B55" w:rsidRPr="00FC3D40">
        <w:rPr>
          <w:rFonts w:asciiTheme="minorHAnsi" w:hAnsiTheme="minorHAnsi" w:cstheme="minorHAnsi"/>
        </w:rPr>
        <w:br/>
      </w:r>
      <w:r w:rsidR="000A6B55" w:rsidRPr="00FC3D40">
        <w:rPr>
          <w:rFonts w:asciiTheme="minorHAnsi" w:hAnsiTheme="minorHAnsi" w:cstheme="minorHAnsi"/>
        </w:rPr>
        <w:br/>
      </w:r>
      <w:hyperlink r:id="rId11" w:tgtFrame="_blank" w:history="1">
        <w:r w:rsidR="000A6B55" w:rsidRPr="00FC3D40">
          <w:rPr>
            <w:rStyle w:val="Hyperlink"/>
            <w:rFonts w:asciiTheme="minorHAnsi" w:hAnsiTheme="minorHAnsi" w:cstheme="minorHAnsi"/>
            <w:color w:val="auto"/>
          </w:rPr>
          <w:t>Museums Empowered: Professional Development Opportunities for Museum Staff</w:t>
        </w:r>
      </w:hyperlink>
      <w:r w:rsidR="000A6B55" w:rsidRPr="00FC3D40">
        <w:rPr>
          <w:rFonts w:asciiTheme="minorHAnsi" w:hAnsiTheme="minorHAnsi" w:cstheme="minorHAnsi"/>
        </w:rPr>
        <w:br/>
        <w:t>A special initiative of the Museums for America grant program, supports staff capacity building projects that use professional development to generate systemic change within a museum. Museums Empowered has four project categories: Digital Technology, Diversity and Inclusion, Evaluation, and Organizational Management. Grants range from $5,000-$250,000 with a cost sharing requirement.</w:t>
      </w:r>
    </w:p>
    <w:p w14:paraId="31DACCF1" w14:textId="77777777" w:rsidR="00FC3D40" w:rsidRDefault="00FC3D40" w:rsidP="00874E86">
      <w:pPr>
        <w:pStyle w:val="Heading3"/>
        <w:shd w:val="clear" w:color="auto" w:fill="FFFFFF"/>
        <w:spacing w:before="0" w:beforeAutospacing="0" w:after="0" w:afterAutospacing="0"/>
        <w:rPr>
          <w:rFonts w:asciiTheme="minorHAnsi" w:hAnsiTheme="minorHAnsi" w:cstheme="minorHAnsi"/>
          <w:caps/>
          <w:sz w:val="24"/>
          <w:szCs w:val="24"/>
        </w:rPr>
      </w:pPr>
    </w:p>
    <w:p w14:paraId="216BBB36" w14:textId="77777777" w:rsidR="00FC3D40" w:rsidRDefault="00FC3D40" w:rsidP="00874E86">
      <w:pPr>
        <w:pStyle w:val="Heading3"/>
        <w:shd w:val="clear" w:color="auto" w:fill="FFFFFF"/>
        <w:spacing w:before="0" w:beforeAutospacing="0" w:after="0" w:afterAutospacing="0"/>
        <w:rPr>
          <w:rFonts w:asciiTheme="minorHAnsi" w:hAnsiTheme="minorHAnsi" w:cstheme="minorHAnsi"/>
          <w:caps/>
          <w:sz w:val="24"/>
          <w:szCs w:val="24"/>
        </w:rPr>
      </w:pPr>
    </w:p>
    <w:p w14:paraId="73CE144E" w14:textId="31F50FCB" w:rsidR="000A6B55" w:rsidRPr="00FC3D40" w:rsidRDefault="000A6B55" w:rsidP="00874E86">
      <w:pPr>
        <w:pStyle w:val="Heading3"/>
        <w:shd w:val="clear" w:color="auto" w:fill="FFFFFF"/>
        <w:spacing w:before="0" w:beforeAutospacing="0" w:after="0" w:afterAutospacing="0"/>
        <w:rPr>
          <w:rFonts w:asciiTheme="minorHAnsi" w:hAnsiTheme="minorHAnsi" w:cstheme="minorHAnsi"/>
          <w:caps/>
          <w:sz w:val="24"/>
          <w:szCs w:val="24"/>
        </w:rPr>
      </w:pPr>
      <w:r w:rsidRPr="00FC3D40">
        <w:rPr>
          <w:rFonts w:asciiTheme="minorHAnsi" w:hAnsiTheme="minorHAnsi" w:cstheme="minorHAnsi"/>
          <w:caps/>
          <w:sz w:val="24"/>
          <w:szCs w:val="24"/>
        </w:rPr>
        <w:lastRenderedPageBreak/>
        <w:t>NATIONAL ENDOWMENT FOR THE HUMANITIES (NEH)</w:t>
      </w:r>
    </w:p>
    <w:p w14:paraId="43EDF643" w14:textId="77777777" w:rsidR="000A6B55" w:rsidRPr="00FC3D40" w:rsidRDefault="00FC3D40" w:rsidP="00874E86">
      <w:pPr>
        <w:pStyle w:val="NormalWeb"/>
        <w:shd w:val="clear" w:color="auto" w:fill="FFFFFF"/>
        <w:spacing w:before="0" w:beforeAutospacing="0" w:after="0" w:afterAutospacing="0"/>
        <w:rPr>
          <w:rFonts w:asciiTheme="minorHAnsi" w:hAnsiTheme="minorHAnsi" w:cstheme="minorHAnsi"/>
        </w:rPr>
      </w:pPr>
      <w:hyperlink r:id="rId12" w:tgtFrame="_blank" w:history="1">
        <w:r w:rsidR="000A6B55" w:rsidRPr="00FC3D40">
          <w:rPr>
            <w:rStyle w:val="Hyperlink"/>
            <w:rFonts w:asciiTheme="minorHAnsi" w:hAnsiTheme="minorHAnsi" w:cstheme="minorHAnsi"/>
            <w:color w:val="auto"/>
          </w:rPr>
          <w:t>Preservation Assistance Grants for Smaller Institutions</w:t>
        </w:r>
      </w:hyperlink>
      <w:r w:rsidR="000A6B55" w:rsidRPr="00FC3D40">
        <w:rPr>
          <w:rFonts w:asciiTheme="minorHAnsi" w:hAnsiTheme="minorHAnsi" w:cstheme="minorHAnsi"/>
        </w:rPr>
        <w:br/>
        <w:t>Preservation Assistance Grants help small and mid-sized institutions improve their ability to preserve and care for their significant humanities collections. The maximum grant amount is $6,000.</w:t>
      </w:r>
    </w:p>
    <w:p w14:paraId="3A71BBDF" w14:textId="77777777" w:rsidR="00874E86" w:rsidRPr="00FC3D40" w:rsidRDefault="00874E86" w:rsidP="00874E86">
      <w:pPr>
        <w:pStyle w:val="NormalWeb"/>
        <w:shd w:val="clear" w:color="auto" w:fill="FFFFFF"/>
        <w:spacing w:before="0" w:beforeAutospacing="0" w:after="0" w:afterAutospacing="0"/>
      </w:pPr>
    </w:p>
    <w:p w14:paraId="1B0D40FC" w14:textId="0CA8953B" w:rsidR="000A6B55" w:rsidRPr="00FC3D40" w:rsidRDefault="00FC3D40" w:rsidP="00874E86">
      <w:pPr>
        <w:pStyle w:val="NormalWeb"/>
        <w:shd w:val="clear" w:color="auto" w:fill="FFFFFF"/>
        <w:spacing w:before="0" w:beforeAutospacing="0" w:after="0" w:afterAutospacing="0"/>
        <w:rPr>
          <w:rFonts w:asciiTheme="minorHAnsi" w:hAnsiTheme="minorHAnsi" w:cstheme="minorHAnsi"/>
        </w:rPr>
      </w:pPr>
      <w:hyperlink r:id="rId13" w:tgtFrame="_blank" w:history="1">
        <w:r w:rsidR="000A6B55" w:rsidRPr="00FC3D40">
          <w:rPr>
            <w:rStyle w:val="Hyperlink"/>
            <w:rFonts w:asciiTheme="minorHAnsi" w:hAnsiTheme="minorHAnsi" w:cstheme="minorHAnsi"/>
            <w:color w:val="auto"/>
          </w:rPr>
          <w:t>Sustaining Cultural Heritage Collections</w:t>
        </w:r>
      </w:hyperlink>
      <w:r w:rsidR="000A6B55" w:rsidRPr="00FC3D40">
        <w:rPr>
          <w:rFonts w:asciiTheme="minorHAnsi" w:hAnsiTheme="minorHAnsi" w:cstheme="minorHAnsi"/>
        </w:rPr>
        <w:br/>
        <w:t>This grant helps cultural institutions preserve large and diverse holdings of humanities materials by supporting sustainable conservation measures.</w:t>
      </w:r>
      <w:r w:rsidR="000A6B55" w:rsidRPr="00FC3D40">
        <w:rPr>
          <w:rFonts w:asciiTheme="minorHAnsi" w:hAnsiTheme="minorHAnsi" w:cstheme="minorHAnsi"/>
        </w:rPr>
        <w:br/>
      </w:r>
      <w:r w:rsidR="000A6B55" w:rsidRPr="00FC3D40">
        <w:rPr>
          <w:rFonts w:asciiTheme="minorHAnsi" w:hAnsiTheme="minorHAnsi" w:cstheme="minorHAnsi"/>
        </w:rPr>
        <w:br/>
      </w:r>
      <w:hyperlink r:id="rId14" w:tgtFrame="_blank" w:history="1">
        <w:r w:rsidR="000A6B55" w:rsidRPr="00FC3D40">
          <w:rPr>
            <w:rStyle w:val="Hyperlink"/>
            <w:rFonts w:asciiTheme="minorHAnsi" w:hAnsiTheme="minorHAnsi" w:cstheme="minorHAnsi"/>
            <w:color w:val="auto"/>
          </w:rPr>
          <w:t>Infrastructure and Capacity Building Challenge Grants</w:t>
        </w:r>
      </w:hyperlink>
      <w:r w:rsidR="000A6B55" w:rsidRPr="00FC3D40">
        <w:rPr>
          <w:rFonts w:asciiTheme="minorHAnsi" w:hAnsiTheme="minorHAnsi" w:cstheme="minorHAnsi"/>
        </w:rPr>
        <w:br/>
        <w:t>Awards of federal matching funds aim to help institutions secure long-term support for their core activities and expand efforts to preserve and create access to outstanding humanities materials (critical building system work may be included).</w:t>
      </w:r>
    </w:p>
    <w:p w14:paraId="35EDA9C6" w14:textId="77777777" w:rsidR="00874E86" w:rsidRPr="00FC3D40" w:rsidRDefault="00874E86" w:rsidP="00874E86">
      <w:pPr>
        <w:pStyle w:val="NormalWeb"/>
        <w:shd w:val="clear" w:color="auto" w:fill="FFFFFF"/>
        <w:spacing w:before="0" w:beforeAutospacing="0" w:after="0" w:afterAutospacing="0"/>
        <w:rPr>
          <w:rFonts w:asciiTheme="minorHAnsi" w:hAnsiTheme="minorHAnsi" w:cstheme="minorHAnsi"/>
          <w:sz w:val="20"/>
          <w:szCs w:val="20"/>
        </w:rPr>
      </w:pPr>
    </w:p>
    <w:p w14:paraId="2E0415E1" w14:textId="3CF9BFA3" w:rsidR="00874E86" w:rsidRPr="00FC3D40" w:rsidRDefault="000A6B55" w:rsidP="00874E86">
      <w:pPr>
        <w:pStyle w:val="Heading3"/>
        <w:shd w:val="clear" w:color="auto" w:fill="FFFFFF"/>
        <w:spacing w:before="0" w:beforeAutospacing="0" w:after="0" w:afterAutospacing="0"/>
        <w:rPr>
          <w:rFonts w:asciiTheme="minorHAnsi" w:hAnsiTheme="minorHAnsi" w:cstheme="minorHAnsi"/>
          <w:caps/>
          <w:sz w:val="24"/>
          <w:szCs w:val="24"/>
        </w:rPr>
      </w:pPr>
      <w:r w:rsidRPr="00FC3D40">
        <w:rPr>
          <w:rStyle w:val="Strong"/>
          <w:rFonts w:asciiTheme="minorHAnsi" w:hAnsiTheme="minorHAnsi" w:cstheme="minorHAnsi"/>
          <w:b/>
          <w:bCs/>
          <w:caps/>
          <w:sz w:val="24"/>
          <w:szCs w:val="24"/>
        </w:rPr>
        <w:t>NATIONAL PARKS SERVICE (NPS)</w:t>
      </w:r>
    </w:p>
    <w:p w14:paraId="3F04DABE" w14:textId="33CA84B2" w:rsidR="000A6B55" w:rsidRPr="00FC3D40" w:rsidRDefault="00FC3D40" w:rsidP="00874E86">
      <w:pPr>
        <w:pStyle w:val="NormalWeb"/>
        <w:shd w:val="clear" w:color="auto" w:fill="FFFFFF"/>
        <w:spacing w:before="0" w:beforeAutospacing="0" w:after="0" w:afterAutospacing="0"/>
        <w:rPr>
          <w:rFonts w:asciiTheme="minorHAnsi" w:hAnsiTheme="minorHAnsi" w:cstheme="minorHAnsi"/>
        </w:rPr>
      </w:pPr>
      <w:hyperlink r:id="rId15" w:tgtFrame="_blank" w:history="1">
        <w:r w:rsidR="000A6B55" w:rsidRPr="00FC3D40">
          <w:rPr>
            <w:rStyle w:val="Hyperlink"/>
            <w:rFonts w:asciiTheme="minorHAnsi" w:hAnsiTheme="minorHAnsi" w:cstheme="minorHAnsi"/>
            <w:color w:val="auto"/>
          </w:rPr>
          <w:t>Save America's Treasures Grants (SAT)</w:t>
        </w:r>
      </w:hyperlink>
      <w:r w:rsidR="000A6B55" w:rsidRPr="00FC3D40">
        <w:rPr>
          <w:rFonts w:asciiTheme="minorHAnsi" w:hAnsiTheme="minorHAnsi" w:cstheme="minorHAnsi"/>
        </w:rPr>
        <w:br/>
        <w:t>SAT grants provide preservation and/or conservation assistance to nationally significant historic properties and collections. Grants will be awarded through a competitive process and require a dollar-for-dollar, non-Federal match, which can be cash or documented in-kind. There are two separate applications: one for preservation projects and one for projects involving collections. </w:t>
      </w:r>
    </w:p>
    <w:p w14:paraId="7B515D6D" w14:textId="77777777" w:rsidR="00874E86" w:rsidRPr="00FC3D40" w:rsidRDefault="00874E86" w:rsidP="00874E86">
      <w:pPr>
        <w:pStyle w:val="NormalWeb"/>
        <w:shd w:val="clear" w:color="auto" w:fill="FFFFFF"/>
        <w:spacing w:before="0" w:beforeAutospacing="0" w:after="0" w:afterAutospacing="0"/>
        <w:rPr>
          <w:rFonts w:asciiTheme="minorHAnsi" w:hAnsiTheme="minorHAnsi" w:cstheme="minorHAnsi"/>
        </w:rPr>
      </w:pPr>
    </w:p>
    <w:p w14:paraId="1389A5D8" w14:textId="5439B2D2" w:rsidR="00B072DC" w:rsidRPr="00FC3D40" w:rsidRDefault="000A6B55" w:rsidP="00874E86">
      <w:pPr>
        <w:pStyle w:val="Heading3"/>
        <w:shd w:val="clear" w:color="auto" w:fill="FFFFFF"/>
        <w:spacing w:before="0" w:beforeAutospacing="0" w:after="0" w:afterAutospacing="0"/>
        <w:rPr>
          <w:rFonts w:asciiTheme="minorHAnsi" w:hAnsiTheme="minorHAnsi" w:cstheme="minorHAnsi"/>
          <w:caps/>
          <w:sz w:val="24"/>
          <w:szCs w:val="24"/>
        </w:rPr>
      </w:pPr>
      <w:r w:rsidRPr="00FC3D40">
        <w:rPr>
          <w:rFonts w:asciiTheme="minorHAnsi" w:hAnsiTheme="minorHAnsi" w:cstheme="minorHAnsi"/>
          <w:caps/>
          <w:sz w:val="24"/>
          <w:szCs w:val="24"/>
        </w:rPr>
        <w:t>SOCIETY FOR INDUSTRIAL ARCHAEOLOGY (SIA)</w:t>
      </w:r>
    </w:p>
    <w:p w14:paraId="18C57BBC" w14:textId="77777777" w:rsidR="00874E86" w:rsidRPr="00FC3D40" w:rsidRDefault="00FC3D40" w:rsidP="00874E86">
      <w:pPr>
        <w:pStyle w:val="NormalWeb"/>
        <w:shd w:val="clear" w:color="auto" w:fill="FFFFFF"/>
        <w:spacing w:before="0" w:beforeAutospacing="0" w:after="0" w:afterAutospacing="0"/>
        <w:rPr>
          <w:rStyle w:val="Hyperlink"/>
          <w:rFonts w:asciiTheme="minorHAnsi" w:hAnsiTheme="minorHAnsi" w:cstheme="minorHAnsi"/>
          <w:color w:val="auto"/>
        </w:rPr>
      </w:pPr>
      <w:hyperlink r:id="rId16" w:tgtFrame="_blank" w:history="1">
        <w:r w:rsidR="000A6B55" w:rsidRPr="00FC3D40">
          <w:rPr>
            <w:rStyle w:val="Hyperlink"/>
            <w:rFonts w:asciiTheme="minorHAnsi" w:hAnsiTheme="minorHAnsi" w:cstheme="minorHAnsi"/>
            <w:color w:val="auto"/>
          </w:rPr>
          <w:t>Industrial Heritage Preservation Grants</w:t>
        </w:r>
      </w:hyperlink>
    </w:p>
    <w:p w14:paraId="4E7A6259" w14:textId="6B289943" w:rsidR="000A6B55" w:rsidRPr="00FC3D40" w:rsidRDefault="000A6B55" w:rsidP="00874E86">
      <w:pPr>
        <w:pStyle w:val="NormalWeb"/>
        <w:shd w:val="clear" w:color="auto" w:fill="FFFFFF"/>
        <w:spacing w:before="0" w:beforeAutospacing="0" w:after="0" w:afterAutospacing="0"/>
        <w:rPr>
          <w:rFonts w:asciiTheme="minorHAnsi" w:hAnsiTheme="minorHAnsi" w:cstheme="minorHAnsi"/>
        </w:rPr>
      </w:pPr>
      <w:r w:rsidRPr="00FC3D40">
        <w:rPr>
          <w:rFonts w:asciiTheme="minorHAnsi" w:hAnsiTheme="minorHAnsi" w:cstheme="minorHAnsi"/>
        </w:rPr>
        <w:br/>
        <w:t xml:space="preserve">The Society for Industrial Archaeology offers Industrial Heritage Preservation Grants (IHPG) from $1,000 to $3,000 for the study, documentation, recordation, and/or preservation of significant historic industrial sites, structures, and objects. Funds may be used for a range of projects including, but not limited </w:t>
      </w:r>
      <w:proofErr w:type="gramStart"/>
      <w:r w:rsidRPr="00FC3D40">
        <w:rPr>
          <w:rFonts w:asciiTheme="minorHAnsi" w:hAnsiTheme="minorHAnsi" w:cstheme="minorHAnsi"/>
        </w:rPr>
        <w:t>to:</w:t>
      </w:r>
      <w:proofErr w:type="gramEnd"/>
      <w:r w:rsidRPr="00FC3D40">
        <w:rPr>
          <w:rFonts w:asciiTheme="minorHAnsi" w:hAnsiTheme="minorHAnsi" w:cstheme="minorHAnsi"/>
        </w:rPr>
        <w:t xml:space="preserve"> increasing public awareness of preservation efforts, photography, videography, preparing inventories and developing measured drawings of extant significant industrial sites, structures, maritime facilities and industrial artifacts. </w:t>
      </w:r>
    </w:p>
    <w:p w14:paraId="0F8C8180" w14:textId="77777777" w:rsidR="00874E86" w:rsidRPr="00FC3D40" w:rsidRDefault="00874E86" w:rsidP="00874E86">
      <w:pPr>
        <w:pStyle w:val="NormalWeb"/>
        <w:shd w:val="clear" w:color="auto" w:fill="FFFFFF"/>
        <w:spacing w:before="0" w:beforeAutospacing="0" w:after="0" w:afterAutospacing="0"/>
        <w:rPr>
          <w:rFonts w:asciiTheme="minorHAnsi" w:hAnsiTheme="minorHAnsi" w:cstheme="minorHAnsi"/>
        </w:rPr>
      </w:pPr>
    </w:p>
    <w:p w14:paraId="60765198" w14:textId="448DFDA0" w:rsidR="00874E86" w:rsidRPr="00FC3D40" w:rsidRDefault="000A6B55" w:rsidP="00874E86">
      <w:pPr>
        <w:pStyle w:val="NormalWeb"/>
        <w:shd w:val="clear" w:color="auto" w:fill="FFFFFF"/>
        <w:spacing w:before="0" w:beforeAutospacing="0" w:after="0" w:afterAutospacing="0"/>
        <w:rPr>
          <w:rFonts w:asciiTheme="minorHAnsi" w:hAnsiTheme="minorHAnsi" w:cstheme="minorHAnsi"/>
          <w:b/>
          <w:bCs/>
        </w:rPr>
      </w:pPr>
      <w:r w:rsidRPr="00FC3D40">
        <w:rPr>
          <w:rFonts w:asciiTheme="minorHAnsi" w:hAnsiTheme="minorHAnsi" w:cstheme="minorHAnsi"/>
          <w:b/>
          <w:bCs/>
        </w:rPr>
        <w:t>COSTUME SOCIETY OF AMERICA (CSA)</w:t>
      </w:r>
    </w:p>
    <w:p w14:paraId="6E7DDC44" w14:textId="362523CA" w:rsidR="000A6B55" w:rsidRPr="00FC3D40" w:rsidRDefault="00FC3D40" w:rsidP="00874E86">
      <w:pPr>
        <w:pStyle w:val="NormalWeb"/>
        <w:shd w:val="clear" w:color="auto" w:fill="FFFFFF"/>
        <w:spacing w:before="0" w:beforeAutospacing="0" w:after="0" w:afterAutospacing="0"/>
        <w:rPr>
          <w:rFonts w:asciiTheme="minorHAnsi" w:hAnsiTheme="minorHAnsi" w:cstheme="minorHAnsi"/>
        </w:rPr>
      </w:pPr>
      <w:hyperlink r:id="rId17" w:tgtFrame="_blank" w:history="1">
        <w:r w:rsidR="000A6B55" w:rsidRPr="00FC3D40">
          <w:rPr>
            <w:rStyle w:val="Hyperlink"/>
            <w:rFonts w:asciiTheme="minorHAnsi" w:hAnsiTheme="minorHAnsi" w:cstheme="minorHAnsi"/>
            <w:color w:val="auto"/>
          </w:rPr>
          <w:t>CSA Small Museums Collection Care Grant</w:t>
        </w:r>
      </w:hyperlink>
      <w:r w:rsidR="000A6B55" w:rsidRPr="00FC3D40">
        <w:rPr>
          <w:rFonts w:asciiTheme="minorHAnsi" w:hAnsiTheme="minorHAnsi" w:cstheme="minorHAnsi"/>
        </w:rPr>
        <w:br/>
        <w:t>A CSA Small Museum Collection Care Grant of $1,500 is intended to assist the costume and textiles collection of a small museum (including historical societies, historic houses or sites, and other similar institutions) that has a very limited budget and staff. Funding may be used to support the care, conservation, and/or exhibition of costume and textiles that have historic, regional, or other significance and are intended for preservation. </w:t>
      </w:r>
      <w:r w:rsidR="000A6B55" w:rsidRPr="00FC3D40">
        <w:rPr>
          <w:rStyle w:val="Emphasis"/>
          <w:rFonts w:asciiTheme="minorHAnsi" w:hAnsiTheme="minorHAnsi" w:cstheme="minorHAnsi"/>
        </w:rPr>
        <w:t>Preference is given to institutions that have previously undergone a Collection Assessment for Preservation (CAP) Program Grant</w:t>
      </w:r>
      <w:r w:rsidR="000A6B55" w:rsidRPr="00FC3D40">
        <w:rPr>
          <w:rFonts w:asciiTheme="minorHAnsi" w:hAnsiTheme="minorHAnsi" w:cstheme="minorHAnsi"/>
        </w:rPr>
        <w:t>.</w:t>
      </w:r>
    </w:p>
    <w:p w14:paraId="49DAC19E" w14:textId="77777777" w:rsidR="00874E86" w:rsidRPr="00FC3D40" w:rsidRDefault="00874E86" w:rsidP="00874E86">
      <w:pPr>
        <w:pStyle w:val="NormalWeb"/>
        <w:shd w:val="clear" w:color="auto" w:fill="FFFFFF"/>
        <w:spacing w:before="0" w:beforeAutospacing="0" w:after="0" w:afterAutospacing="0"/>
        <w:rPr>
          <w:rFonts w:asciiTheme="minorHAnsi" w:hAnsiTheme="minorHAnsi" w:cstheme="minorHAnsi"/>
          <w:sz w:val="20"/>
          <w:szCs w:val="20"/>
        </w:rPr>
      </w:pPr>
    </w:p>
    <w:p w14:paraId="6D77FE68" w14:textId="68429DF1" w:rsidR="000A6B55" w:rsidRPr="00FC3D40" w:rsidRDefault="00FC3D40" w:rsidP="00874E86">
      <w:pPr>
        <w:pStyle w:val="NormalWeb"/>
        <w:shd w:val="clear" w:color="auto" w:fill="FFFFFF"/>
        <w:spacing w:before="0" w:beforeAutospacing="0" w:after="0" w:afterAutospacing="0"/>
        <w:rPr>
          <w:rFonts w:asciiTheme="minorHAnsi" w:hAnsiTheme="minorHAnsi" w:cstheme="minorHAnsi"/>
        </w:rPr>
      </w:pPr>
      <w:hyperlink r:id="rId18" w:tgtFrame="_blank" w:history="1">
        <w:r w:rsidR="000A6B55" w:rsidRPr="00FC3D40">
          <w:rPr>
            <w:rStyle w:val="Hyperlink"/>
            <w:rFonts w:asciiTheme="minorHAnsi" w:hAnsiTheme="minorHAnsi" w:cstheme="minorHAnsi"/>
            <w:color w:val="auto"/>
          </w:rPr>
          <w:t>College and University Collection Care Grant</w:t>
        </w:r>
      </w:hyperlink>
      <w:r w:rsidR="000A6B55" w:rsidRPr="00FC3D40">
        <w:rPr>
          <w:rFonts w:asciiTheme="minorHAnsi" w:hAnsiTheme="minorHAnsi" w:cstheme="minorHAnsi"/>
        </w:rPr>
        <w:br/>
        <w:t xml:space="preserve">A CSA College and University Collection Care Grant of $1,500 is intended to assist the costume and textiles collection of a college or university that receives little or no financial support from its </w:t>
      </w:r>
      <w:r w:rsidR="000A6B55" w:rsidRPr="00FC3D40">
        <w:rPr>
          <w:rFonts w:asciiTheme="minorHAnsi" w:hAnsiTheme="minorHAnsi" w:cstheme="minorHAnsi"/>
        </w:rPr>
        <w:lastRenderedPageBreak/>
        <w:t>institution. Funding may be used to support the care, conservation, and/or instructional mission of a collection of historic, period, or otherwise informative costume and textiles that are intended for preservation and are used for study by an institution that has a degree program in apparel, textiles, or theatre.</w:t>
      </w:r>
    </w:p>
    <w:p w14:paraId="5EB214B2" w14:textId="77777777" w:rsidR="00874E86" w:rsidRPr="00FC3D40" w:rsidRDefault="00874E86" w:rsidP="00874E86">
      <w:pPr>
        <w:pStyle w:val="NormalWeb"/>
        <w:shd w:val="clear" w:color="auto" w:fill="FFFFFF"/>
        <w:spacing w:before="0" w:beforeAutospacing="0" w:after="0" w:afterAutospacing="0"/>
        <w:rPr>
          <w:rFonts w:asciiTheme="minorHAnsi" w:hAnsiTheme="minorHAnsi" w:cstheme="minorHAnsi"/>
        </w:rPr>
      </w:pPr>
    </w:p>
    <w:p w14:paraId="2F67D697" w14:textId="77777777" w:rsidR="000A6B55" w:rsidRPr="00FC3D40" w:rsidRDefault="000A6B55" w:rsidP="00874E86">
      <w:pPr>
        <w:pStyle w:val="Heading3"/>
        <w:shd w:val="clear" w:color="auto" w:fill="FFFFFF"/>
        <w:spacing w:before="0" w:beforeAutospacing="0" w:after="0" w:afterAutospacing="0"/>
        <w:rPr>
          <w:rFonts w:asciiTheme="minorHAnsi" w:hAnsiTheme="minorHAnsi" w:cstheme="minorHAnsi"/>
          <w:caps/>
          <w:sz w:val="24"/>
          <w:szCs w:val="24"/>
        </w:rPr>
      </w:pPr>
      <w:r w:rsidRPr="00FC3D40">
        <w:rPr>
          <w:rStyle w:val="Strong"/>
          <w:rFonts w:asciiTheme="minorHAnsi" w:hAnsiTheme="minorHAnsi" w:cstheme="minorHAnsi"/>
          <w:b/>
          <w:bCs/>
          <w:caps/>
          <w:sz w:val="24"/>
          <w:szCs w:val="24"/>
        </w:rPr>
        <w:t>AMERICAN PUBLIC GARDENS ASSOCIATION</w:t>
      </w:r>
    </w:p>
    <w:p w14:paraId="4502697A" w14:textId="044B4F3B" w:rsidR="000A6B55" w:rsidRPr="00FC3D40" w:rsidRDefault="00FC3D40" w:rsidP="00874E86">
      <w:pPr>
        <w:pStyle w:val="NormalWeb"/>
        <w:shd w:val="clear" w:color="auto" w:fill="FFFFFF"/>
        <w:spacing w:before="0" w:beforeAutospacing="0" w:after="0" w:afterAutospacing="0"/>
        <w:rPr>
          <w:rFonts w:asciiTheme="minorHAnsi" w:hAnsiTheme="minorHAnsi" w:cstheme="minorHAnsi"/>
        </w:rPr>
      </w:pPr>
      <w:hyperlink r:id="rId19" w:tgtFrame="_blank" w:history="1">
        <w:r w:rsidR="000A6B55" w:rsidRPr="00FC3D40">
          <w:rPr>
            <w:rStyle w:val="Hyperlink"/>
            <w:rFonts w:asciiTheme="minorHAnsi" w:hAnsiTheme="minorHAnsi" w:cstheme="minorHAnsi"/>
            <w:color w:val="auto"/>
          </w:rPr>
          <w:t>Public Garden Funding Resources</w:t>
        </w:r>
      </w:hyperlink>
      <w:r w:rsidR="000A6B55" w:rsidRPr="00FC3D40">
        <w:rPr>
          <w:rFonts w:asciiTheme="minorHAnsi" w:hAnsiTheme="minorHAnsi" w:cstheme="minorHAnsi"/>
        </w:rPr>
        <w:br/>
        <w:t>There are many grants available to non-profit gardens that may be applicable to your wants and needs as a public garden.</w:t>
      </w:r>
    </w:p>
    <w:p w14:paraId="1506C7C3" w14:textId="77777777" w:rsidR="00874E86" w:rsidRDefault="00874E86" w:rsidP="00874E86">
      <w:pPr>
        <w:spacing w:after="0"/>
        <w:rPr>
          <w:b/>
          <w:bCs/>
          <w:color w:val="538135" w:themeColor="accent6" w:themeShade="BF"/>
        </w:rPr>
      </w:pPr>
    </w:p>
    <w:p w14:paraId="085FC636" w14:textId="70D0CAF3" w:rsidR="000A6B55" w:rsidRPr="000A6B55" w:rsidRDefault="000A6B55" w:rsidP="00874E86">
      <w:pPr>
        <w:spacing w:after="0"/>
        <w:rPr>
          <w:b/>
          <w:bCs/>
          <w:color w:val="538135" w:themeColor="accent6" w:themeShade="BF"/>
        </w:rPr>
      </w:pPr>
      <w:r w:rsidRPr="000A6B55">
        <w:rPr>
          <w:b/>
          <w:bCs/>
          <w:color w:val="538135" w:themeColor="accent6" w:themeShade="BF"/>
        </w:rPr>
        <w:t>STATE GRANTS</w:t>
      </w:r>
    </w:p>
    <w:p w14:paraId="61310911" w14:textId="5785A6CA" w:rsidR="000A6B55" w:rsidRPr="00FC3D40" w:rsidRDefault="00FC3D40" w:rsidP="00874E86">
      <w:pPr>
        <w:spacing w:after="0"/>
      </w:pPr>
      <w:hyperlink r:id="rId20" w:history="1">
        <w:r w:rsidR="000A6B55" w:rsidRPr="00FC3D40">
          <w:rPr>
            <w:rStyle w:val="Hyperlink"/>
            <w:color w:val="auto"/>
          </w:rPr>
          <w:t>Kentucky Local History Trust Fund</w:t>
        </w:r>
      </w:hyperlink>
    </w:p>
    <w:p w14:paraId="3135B368" w14:textId="77777777" w:rsidR="000A6B55" w:rsidRPr="00FC3D40" w:rsidRDefault="000A6B55" w:rsidP="00874E86">
      <w:pPr>
        <w:pStyle w:val="NormalWeb"/>
        <w:spacing w:before="0" w:beforeAutospacing="0" w:after="0" w:afterAutospacing="0"/>
        <w:rPr>
          <w:rFonts w:ascii="Calibri" w:hAnsi="Calibri" w:cs="Calibri"/>
        </w:rPr>
      </w:pPr>
      <w:r w:rsidRPr="00FC3D40">
        <w:rPr>
          <w:rFonts w:ascii="Calibri" w:hAnsi="Calibri" w:cs="Calibri"/>
        </w:rPr>
        <w:t xml:space="preserve">Planning grants range from $290 to $1,000. Implementation grants range from $290 to $2,500 for projects related to research, exhibition expansion, technology updates, and programming. </w:t>
      </w:r>
    </w:p>
    <w:p w14:paraId="74307BA3" w14:textId="77777777" w:rsidR="000A6B55" w:rsidRPr="00FC3D40" w:rsidRDefault="000A6B55" w:rsidP="00874E86">
      <w:pPr>
        <w:pStyle w:val="NormalWeb"/>
        <w:spacing w:before="0" w:beforeAutospacing="0" w:after="0" w:afterAutospacing="0"/>
        <w:rPr>
          <w:rFonts w:ascii="Calibri" w:hAnsi="Calibri" w:cs="Calibri"/>
        </w:rPr>
      </w:pPr>
      <w:r w:rsidRPr="00FC3D40">
        <w:rPr>
          <w:rFonts w:ascii="Calibri" w:hAnsi="Calibri" w:cs="Calibri"/>
        </w:rPr>
        <w:t>The Kentucky Local History Trust Fund is a tax option where Kentuckians donate a portion of their state income tax refund via Line 38f. As the fund administrator, KHS has, to date, awarded 63 local history organizations with more than $141,000 distributed across the commonwealth. If you have questions about qualifying for a grant, please call the Kentucky Historical Society at (502) 782-1792.</w:t>
      </w:r>
    </w:p>
    <w:p w14:paraId="4F83C976" w14:textId="77777777" w:rsidR="000A6B55" w:rsidRPr="00FC3D40" w:rsidRDefault="000A6B55" w:rsidP="00874E86">
      <w:pPr>
        <w:pStyle w:val="NormalWeb"/>
        <w:numPr>
          <w:ilvl w:val="0"/>
          <w:numId w:val="1"/>
        </w:numPr>
        <w:spacing w:before="0" w:beforeAutospacing="0" w:after="0" w:afterAutospacing="0"/>
        <w:rPr>
          <w:rFonts w:ascii="Calibri" w:hAnsi="Calibri" w:cs="Calibri"/>
        </w:rPr>
      </w:pPr>
      <w:r w:rsidRPr="00FC3D40">
        <w:rPr>
          <w:rFonts w:ascii="Calibri" w:hAnsi="Calibri" w:cs="Calibri"/>
        </w:rPr>
        <w:t>Money for the Local History Trust Fund comes from people who donate when they file their Kentucky income tax returns.</w:t>
      </w:r>
    </w:p>
    <w:p w14:paraId="0DD4A22B" w14:textId="77777777" w:rsidR="000A6B55" w:rsidRPr="00FC3D40" w:rsidRDefault="000A6B55" w:rsidP="00874E86">
      <w:pPr>
        <w:pStyle w:val="NormalWeb"/>
        <w:numPr>
          <w:ilvl w:val="0"/>
          <w:numId w:val="1"/>
        </w:numPr>
        <w:spacing w:before="0" w:beforeAutospacing="0" w:after="0" w:afterAutospacing="0"/>
        <w:rPr>
          <w:rFonts w:ascii="Calibri" w:hAnsi="Calibri" w:cs="Calibri"/>
        </w:rPr>
      </w:pPr>
      <w:r w:rsidRPr="00FC3D40">
        <w:rPr>
          <w:rFonts w:ascii="Calibri" w:hAnsi="Calibri" w:cs="Calibri"/>
        </w:rPr>
        <w:t>History-minded organizations in Kentucky, including those with 501c3 status, local government agencies and public libraries, are eligible to apply for a Local History Trust Fund grant. For-profit entities are not eligible for funding.</w:t>
      </w:r>
    </w:p>
    <w:p w14:paraId="315DFE20" w14:textId="77777777" w:rsidR="000A6B55" w:rsidRPr="00FC3D40" w:rsidRDefault="000A6B55" w:rsidP="00874E86">
      <w:pPr>
        <w:pStyle w:val="NormalWeb"/>
        <w:numPr>
          <w:ilvl w:val="0"/>
          <w:numId w:val="1"/>
        </w:numPr>
        <w:spacing w:before="0" w:beforeAutospacing="0" w:after="0" w:afterAutospacing="0"/>
        <w:rPr>
          <w:rFonts w:ascii="Calibri" w:hAnsi="Calibri" w:cs="Calibri"/>
        </w:rPr>
      </w:pPr>
      <w:r w:rsidRPr="00FC3D40">
        <w:rPr>
          <w:rFonts w:ascii="Calibri" w:hAnsi="Calibri" w:cs="Calibri"/>
        </w:rPr>
        <w:t>Grants vary in amount and support activities designed to build organizational capacity or strengthen the organization. Such projects include, but are not limited to, local history education programs, collections care, publications on local history, documentaries, social media platforms and websites.</w:t>
      </w:r>
    </w:p>
    <w:p w14:paraId="7DEAD56F" w14:textId="77777777" w:rsidR="000A6B55" w:rsidRPr="00FC3D40" w:rsidRDefault="000A6B55" w:rsidP="00874E86">
      <w:pPr>
        <w:pStyle w:val="NormalWeb"/>
        <w:numPr>
          <w:ilvl w:val="0"/>
          <w:numId w:val="1"/>
        </w:numPr>
        <w:spacing w:before="0" w:beforeAutospacing="0" w:after="0" w:afterAutospacing="0"/>
        <w:rPr>
          <w:rFonts w:ascii="Calibri" w:hAnsi="Calibri" w:cs="Calibri"/>
        </w:rPr>
      </w:pPr>
      <w:r w:rsidRPr="00FC3D40">
        <w:rPr>
          <w:rFonts w:ascii="Calibri" w:hAnsi="Calibri" w:cs="Calibri"/>
        </w:rPr>
        <w:t>Grants are made based on an organization’s plan to advance in one or more areas represented in field-based standards, such as the AASLH Standards and Excellence Program for History Organizations.</w:t>
      </w:r>
    </w:p>
    <w:p w14:paraId="3129B150" w14:textId="162B6761" w:rsidR="000A6B55" w:rsidRPr="00FC3D40" w:rsidRDefault="000A6B55" w:rsidP="00874E86">
      <w:pPr>
        <w:pStyle w:val="NormalWeb"/>
        <w:numPr>
          <w:ilvl w:val="0"/>
          <w:numId w:val="1"/>
        </w:numPr>
        <w:spacing w:before="0" w:beforeAutospacing="0" w:after="0" w:afterAutospacing="0"/>
        <w:rPr>
          <w:rFonts w:ascii="Calibri" w:hAnsi="Calibri" w:cs="Calibri"/>
        </w:rPr>
      </w:pPr>
      <w:r w:rsidRPr="00FC3D40">
        <w:rPr>
          <w:rFonts w:ascii="Calibri" w:hAnsi="Calibri" w:cs="Calibri"/>
        </w:rPr>
        <w:t>The Kentucky Historical Society oversees the Local History Trust Fund based on its state mandate to be the keeper of Kentucky’s legacy.</w:t>
      </w:r>
    </w:p>
    <w:p w14:paraId="1A29BEA5" w14:textId="77777777" w:rsidR="00874E86" w:rsidRPr="00FC3D40" w:rsidRDefault="00874E86" w:rsidP="00874E86">
      <w:pPr>
        <w:pStyle w:val="NormalWeb"/>
        <w:spacing w:before="0" w:beforeAutospacing="0" w:after="0" w:afterAutospacing="0"/>
        <w:ind w:left="720"/>
        <w:rPr>
          <w:rFonts w:ascii="Calibri" w:hAnsi="Calibri" w:cs="Calibri"/>
        </w:rPr>
      </w:pPr>
    </w:p>
    <w:p w14:paraId="3092D956" w14:textId="1647CD14" w:rsidR="00874E86" w:rsidRPr="00FC3D40" w:rsidRDefault="000A6B55" w:rsidP="00874E86">
      <w:pPr>
        <w:spacing w:after="0"/>
        <w:rPr>
          <w:b/>
          <w:bCs/>
          <w:sz w:val="24"/>
          <w:szCs w:val="24"/>
        </w:rPr>
      </w:pPr>
      <w:r w:rsidRPr="00FC3D40">
        <w:rPr>
          <w:b/>
          <w:bCs/>
          <w:sz w:val="24"/>
          <w:szCs w:val="24"/>
        </w:rPr>
        <w:t xml:space="preserve">THE LINDA AND JERRY BRUCKHEIMER PERSERVATION </w:t>
      </w:r>
      <w:r w:rsidR="00874E86" w:rsidRPr="00FC3D40">
        <w:rPr>
          <w:b/>
          <w:bCs/>
          <w:sz w:val="24"/>
          <w:szCs w:val="24"/>
        </w:rPr>
        <w:t>FOUNDATION</w:t>
      </w:r>
      <w:r w:rsidRPr="00FC3D40">
        <w:rPr>
          <w:b/>
          <w:bCs/>
          <w:sz w:val="24"/>
          <w:szCs w:val="24"/>
        </w:rPr>
        <w:t xml:space="preserve"> FOR KENTUCKY</w:t>
      </w:r>
    </w:p>
    <w:p w14:paraId="113A3F6C" w14:textId="402A4481" w:rsidR="000A6B55" w:rsidRPr="00FC3D40" w:rsidRDefault="00FC3D40" w:rsidP="00874E86">
      <w:pPr>
        <w:spacing w:after="0"/>
        <w:rPr>
          <w:rFonts w:ascii="Arial" w:hAnsi="Arial" w:cs="Arial"/>
          <w:shd w:val="clear" w:color="auto" w:fill="FFFFFF"/>
        </w:rPr>
      </w:pPr>
      <w:hyperlink r:id="rId21" w:tgtFrame="_blank" w:history="1">
        <w:r w:rsidR="000A6B55" w:rsidRPr="00FC3D40">
          <w:rPr>
            <w:rStyle w:val="Hyperlink"/>
            <w:rFonts w:ascii="Arial" w:hAnsi="Arial" w:cs="Arial"/>
            <w:color w:val="auto"/>
            <w:shd w:val="clear" w:color="auto" w:fill="FFFFFF"/>
          </w:rPr>
          <w:t>National Trust for Historic Preservation The Linda and Jerry Bruckheimer Preservation Fund for Kentucky</w:t>
        </w:r>
      </w:hyperlink>
      <w:r w:rsidR="000A6B55" w:rsidRPr="00FC3D40">
        <w:rPr>
          <w:rFonts w:ascii="Arial" w:hAnsi="Arial" w:cs="Arial"/>
        </w:rPr>
        <w:br/>
      </w:r>
      <w:r w:rsidR="000A6B55" w:rsidRPr="00FC3D40">
        <w:rPr>
          <w:rFonts w:ascii="Arial" w:hAnsi="Arial" w:cs="Arial"/>
          <w:shd w:val="clear" w:color="auto" w:fill="FFFFFF"/>
        </w:rPr>
        <w:t>Members of the National Trust for Historic Preservation may apply for the </w:t>
      </w:r>
      <w:hyperlink r:id="rId22" w:history="1">
        <w:r w:rsidR="000A6B55" w:rsidRPr="00FC3D40">
          <w:rPr>
            <w:rStyle w:val="Hyperlink"/>
            <w:rFonts w:ascii="Arial" w:hAnsi="Arial" w:cs="Arial"/>
            <w:color w:val="auto"/>
            <w:shd w:val="clear" w:color="auto" w:fill="FFFFFF"/>
          </w:rPr>
          <w:t>Linda and Jerry Bruckheimer Preservation Fund for Kentucky</w:t>
        </w:r>
      </w:hyperlink>
      <w:r w:rsidR="000A6B55" w:rsidRPr="00FC3D40">
        <w:rPr>
          <w:rFonts w:ascii="Arial" w:hAnsi="Arial" w:cs="Arial"/>
          <w:shd w:val="clear" w:color="auto" w:fill="FFFFFF"/>
        </w:rPr>
        <w:t>, which supports the preservation of historic buildings, communities and landscapes in the state of Kentucky. Grants will normally range from $2,500 to $10,000.</w:t>
      </w:r>
    </w:p>
    <w:p w14:paraId="029FDD3E" w14:textId="77777777" w:rsidR="000A6B55" w:rsidRPr="00FC3D40" w:rsidRDefault="000A6B55" w:rsidP="00874E86">
      <w:pPr>
        <w:spacing w:after="0"/>
        <w:rPr>
          <w:rFonts w:ascii="Arial" w:hAnsi="Arial" w:cs="Arial"/>
          <w:shd w:val="clear" w:color="auto" w:fill="FFFFFF"/>
        </w:rPr>
      </w:pPr>
    </w:p>
    <w:p w14:paraId="49F7402E" w14:textId="77777777" w:rsidR="000A6B55" w:rsidRPr="00FC3D40" w:rsidRDefault="000A6B55" w:rsidP="00874E86">
      <w:pPr>
        <w:spacing w:after="0"/>
      </w:pPr>
    </w:p>
    <w:p w14:paraId="6E7D583E" w14:textId="77777777" w:rsidR="004928B0" w:rsidRPr="00FC3D40" w:rsidRDefault="004928B0" w:rsidP="00874E86">
      <w:pPr>
        <w:pStyle w:val="ListParagraph"/>
        <w:spacing w:after="0" w:line="240" w:lineRule="auto"/>
        <w:ind w:left="0"/>
        <w:rPr>
          <w:rFonts w:cs="Calibri"/>
        </w:rPr>
      </w:pPr>
    </w:p>
    <w:p w14:paraId="3F355301" w14:textId="77777777" w:rsidR="004928B0" w:rsidRPr="00FC3D40" w:rsidRDefault="004928B0" w:rsidP="00874E86">
      <w:pPr>
        <w:pStyle w:val="ListParagraph"/>
        <w:spacing w:after="0" w:line="240" w:lineRule="auto"/>
        <w:ind w:left="0"/>
        <w:rPr>
          <w:rFonts w:cs="Calibri"/>
        </w:rPr>
      </w:pPr>
    </w:p>
    <w:p w14:paraId="690D4CFF" w14:textId="77777777" w:rsidR="004928B0" w:rsidRPr="00765BCB" w:rsidRDefault="004928B0" w:rsidP="00874E86">
      <w:pPr>
        <w:spacing w:after="0"/>
        <w:rPr>
          <w:sz w:val="24"/>
          <w:szCs w:val="24"/>
        </w:rPr>
      </w:pPr>
    </w:p>
    <w:sectPr w:rsidR="004928B0" w:rsidRPr="00765BCB" w:rsidSect="000A6B55">
      <w:headerReference w:type="default" r:id="rId23"/>
      <w:headerReference w:type="first" r:id="rId24"/>
      <w:footerReference w:type="first" r:id="rId25"/>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C8AC8" w14:textId="77777777" w:rsidR="005E4AFB" w:rsidRDefault="005E4AFB" w:rsidP="00F47D6B">
      <w:pPr>
        <w:spacing w:after="0" w:line="240" w:lineRule="auto"/>
      </w:pPr>
      <w:r>
        <w:separator/>
      </w:r>
    </w:p>
  </w:endnote>
  <w:endnote w:type="continuationSeparator" w:id="0">
    <w:p w14:paraId="2AF78D71" w14:textId="77777777" w:rsidR="005E4AFB" w:rsidRDefault="005E4AFB" w:rsidP="00F47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BC2F" w14:textId="77777777" w:rsidR="003F20D0" w:rsidRDefault="003F20D0" w:rsidP="003F20D0">
    <w:pPr>
      <w:pStyle w:val="Footer"/>
      <w:jc w:val="center"/>
      <w:rPr>
        <w:sz w:val="20"/>
        <w:szCs w:val="20"/>
      </w:rPr>
    </w:pPr>
  </w:p>
  <w:p w14:paraId="632F4B36" w14:textId="77777777" w:rsidR="003F20D0" w:rsidRPr="00F47D6B" w:rsidRDefault="003F20D0" w:rsidP="003F20D0">
    <w:pPr>
      <w:pStyle w:val="Footer"/>
      <w:jc w:val="center"/>
      <w:rPr>
        <w:sz w:val="20"/>
        <w:szCs w:val="20"/>
      </w:rPr>
    </w:pPr>
    <w:r>
      <w:rPr>
        <w:rFonts w:ascii="Times New (W1)" w:eastAsia="Times New Roman" w:hAnsi="Times New (W1)" w:cstheme="minorHAnsi"/>
        <w:noProof/>
        <w:sz w:val="24"/>
        <w:szCs w:val="24"/>
      </w:rPr>
      <w:drawing>
        <wp:anchor distT="0" distB="0" distL="114300" distR="114300" simplePos="0" relativeHeight="251672576" behindDoc="1" locked="0" layoutInCell="1" allowOverlap="1" wp14:anchorId="6B8761D7" wp14:editId="43C15B62">
          <wp:simplePos x="0" y="0"/>
          <wp:positionH relativeFrom="column">
            <wp:posOffset>5305425</wp:posOffset>
          </wp:positionH>
          <wp:positionV relativeFrom="paragraph">
            <wp:posOffset>12066</wp:posOffset>
          </wp:positionV>
          <wp:extent cx="962025" cy="660106"/>
          <wp:effectExtent l="0" t="0" r="0" b="6985"/>
          <wp:wrapNone/>
          <wp:docPr id="12" name="Picture 12" descr="C:\Users\scott.alvey\AppData\Local\Microsoft\Windows\INetCache\Content.Word\S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ott.alvey\AppData\Local\Microsoft\Windows\INetCache\Content.Word\SI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830" cy="66340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Cs/>
        <w:i/>
        <w:iCs/>
        <w:noProof/>
        <w:color w:val="000000"/>
        <w:sz w:val="15"/>
        <w:szCs w:val="15"/>
      </w:rPr>
      <w:drawing>
        <wp:anchor distT="0" distB="0" distL="114300" distR="114300" simplePos="0" relativeHeight="251671552" behindDoc="1" locked="0" layoutInCell="1" allowOverlap="1" wp14:anchorId="6BDB9631" wp14:editId="621DBC9A">
          <wp:simplePos x="0" y="0"/>
          <wp:positionH relativeFrom="column">
            <wp:posOffset>4431030</wp:posOffset>
          </wp:positionH>
          <wp:positionV relativeFrom="paragraph">
            <wp:posOffset>10160</wp:posOffset>
          </wp:positionV>
          <wp:extent cx="640080" cy="640080"/>
          <wp:effectExtent l="0" t="0" r="762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ance_accredited_fullcolor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anchor>
      </w:drawing>
    </w:r>
    <w:r>
      <w:rPr>
        <w:noProof/>
        <w:sz w:val="20"/>
        <w:szCs w:val="20"/>
      </w:rPr>
      <w:drawing>
        <wp:anchor distT="0" distB="0" distL="114300" distR="114300" simplePos="0" relativeHeight="251670528" behindDoc="1" locked="0" layoutInCell="1" allowOverlap="1" wp14:anchorId="29D941E1" wp14:editId="0EC117BA">
          <wp:simplePos x="0" y="0"/>
          <wp:positionH relativeFrom="column">
            <wp:posOffset>-57150</wp:posOffset>
          </wp:positionH>
          <wp:positionV relativeFrom="paragraph">
            <wp:posOffset>-47625</wp:posOffset>
          </wp:positionV>
          <wp:extent cx="1447800" cy="6572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7800" cy="657225"/>
                  </a:xfrm>
                  <a:prstGeom prst="rect">
                    <a:avLst/>
                  </a:prstGeom>
                  <a:noFill/>
                </pic:spPr>
              </pic:pic>
            </a:graphicData>
          </a:graphic>
        </wp:anchor>
      </w:drawing>
    </w:r>
    <w:r w:rsidRPr="00F47D6B">
      <w:rPr>
        <w:sz w:val="20"/>
        <w:szCs w:val="20"/>
      </w:rPr>
      <w:t xml:space="preserve">100 West Broadway </w:t>
    </w:r>
    <w:r w:rsidRPr="00F47D6B">
      <w:rPr>
        <w:rFonts w:ascii="Verdana" w:hAnsi="Verdana"/>
        <w:sz w:val="20"/>
        <w:szCs w:val="20"/>
      </w:rPr>
      <w:t>●</w:t>
    </w:r>
    <w:r w:rsidRPr="00F47D6B">
      <w:rPr>
        <w:sz w:val="20"/>
        <w:szCs w:val="20"/>
      </w:rPr>
      <w:t xml:space="preserve"> Frankfort, KY </w:t>
    </w:r>
    <w:r w:rsidRPr="00F47D6B">
      <w:rPr>
        <w:rFonts w:ascii="Verdana" w:hAnsi="Verdana"/>
        <w:sz w:val="20"/>
        <w:szCs w:val="20"/>
      </w:rPr>
      <w:t>●</w:t>
    </w:r>
    <w:r w:rsidRPr="00F47D6B">
      <w:rPr>
        <w:sz w:val="20"/>
        <w:szCs w:val="20"/>
      </w:rPr>
      <w:t xml:space="preserve"> 40601</w:t>
    </w:r>
  </w:p>
  <w:p w14:paraId="2865454A" w14:textId="77777777" w:rsidR="003F20D0" w:rsidRDefault="003F20D0" w:rsidP="003F20D0">
    <w:pPr>
      <w:pStyle w:val="Footer"/>
      <w:rPr>
        <w:sz w:val="20"/>
        <w:szCs w:val="20"/>
      </w:rPr>
    </w:pPr>
    <w:r>
      <w:rPr>
        <w:sz w:val="20"/>
        <w:szCs w:val="20"/>
      </w:rPr>
      <w:tab/>
    </w:r>
    <w:r w:rsidRPr="00F47D6B">
      <w:rPr>
        <w:sz w:val="20"/>
        <w:szCs w:val="20"/>
      </w:rPr>
      <w:t xml:space="preserve">502.564.1792 </w:t>
    </w:r>
    <w:r w:rsidRPr="00F47D6B">
      <w:rPr>
        <w:rFonts w:ascii="Verdana" w:hAnsi="Verdana"/>
        <w:sz w:val="20"/>
        <w:szCs w:val="20"/>
      </w:rPr>
      <w:t>●</w:t>
    </w:r>
    <w:r w:rsidRPr="00F47D6B">
      <w:rPr>
        <w:sz w:val="20"/>
        <w:szCs w:val="20"/>
      </w:rPr>
      <w:t xml:space="preserve"> history.ky.gov</w:t>
    </w:r>
    <w:r>
      <w:rPr>
        <w:sz w:val="20"/>
        <w:szCs w:val="20"/>
      </w:rPr>
      <w:tab/>
    </w:r>
  </w:p>
  <w:p w14:paraId="501FE639" w14:textId="77777777" w:rsidR="003F20D0" w:rsidRPr="00F47D6B" w:rsidRDefault="003F20D0" w:rsidP="003F20D0">
    <w:pPr>
      <w:pStyle w:val="Footer"/>
      <w:jc w:val="center"/>
      <w:rPr>
        <w:sz w:val="20"/>
        <w:szCs w:val="20"/>
      </w:rPr>
    </w:pPr>
    <w:r w:rsidRPr="00AB3695">
      <w:rPr>
        <w:sz w:val="20"/>
        <w:szCs w:val="20"/>
      </w:rPr>
      <w:t>An Equal Opportunity Employer M/F/D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FC281" w14:textId="77777777" w:rsidR="005E4AFB" w:rsidRDefault="005E4AFB" w:rsidP="00F47D6B">
      <w:pPr>
        <w:spacing w:after="0" w:line="240" w:lineRule="auto"/>
      </w:pPr>
      <w:r>
        <w:separator/>
      </w:r>
    </w:p>
  </w:footnote>
  <w:footnote w:type="continuationSeparator" w:id="0">
    <w:p w14:paraId="4A9CA684" w14:textId="77777777" w:rsidR="005E4AFB" w:rsidRDefault="005E4AFB" w:rsidP="00F47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1153" w14:textId="77777777" w:rsidR="00F47D6B" w:rsidRDefault="009A0095" w:rsidP="00AB3695">
    <w:pPr>
      <w:pStyle w:val="Header"/>
    </w:pPr>
    <w:r w:rsidRPr="009A0095">
      <w:rPr>
        <w:rFonts w:ascii="Times New (W1)" w:eastAsia="Times New Roman" w:hAnsi="Times New (W1)" w:cstheme="minorHAnsi"/>
        <w:noProof/>
        <w:sz w:val="24"/>
        <w:szCs w:val="24"/>
      </w:rPr>
      <mc:AlternateContent>
        <mc:Choice Requires="wps">
          <w:drawing>
            <wp:anchor distT="45720" distB="45720" distL="114300" distR="114300" simplePos="0" relativeHeight="251659264" behindDoc="1" locked="0" layoutInCell="1" allowOverlap="1" wp14:anchorId="4539D1F3" wp14:editId="5638250D">
              <wp:simplePos x="0" y="0"/>
              <wp:positionH relativeFrom="column">
                <wp:posOffset>4610100</wp:posOffset>
              </wp:positionH>
              <wp:positionV relativeFrom="paragraph">
                <wp:posOffset>0</wp:posOffset>
              </wp:positionV>
              <wp:extent cx="1343025" cy="5143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14350"/>
                      </a:xfrm>
                      <a:prstGeom prst="rect">
                        <a:avLst/>
                      </a:prstGeom>
                      <a:solidFill>
                        <a:srgbClr val="FFFFFF"/>
                      </a:solidFill>
                      <a:ln w="9525">
                        <a:noFill/>
                        <a:miter lim="800000"/>
                        <a:headEnd/>
                        <a:tailEnd/>
                      </a:ln>
                    </wps:spPr>
                    <wps:txbx>
                      <w:txbxContent>
                        <w:p w14:paraId="20B7FCE2" w14:textId="0455359F" w:rsidR="009A0095" w:rsidRPr="00765BCB" w:rsidRDefault="009A0095" w:rsidP="009A0095">
                          <w:pPr>
                            <w:rPr>
                              <w:color w:val="FF0000"/>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39D1F3" id="_x0000_t202" coordsize="21600,21600" o:spt="202" path="m,l,21600r21600,l21600,xe">
              <v:stroke joinstyle="miter"/>
              <v:path gradientshapeok="t" o:connecttype="rect"/>
            </v:shapetype>
            <v:shape id="Text Box 2" o:spid="_x0000_s1026" type="#_x0000_t202" style="position:absolute;margin-left:363pt;margin-top:0;width:105.75pt;height:4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" stroked="f">
              <v:textbox>
                <w:txbxContent>
                  <w:p w14:paraId="20B7FCE2" w14:textId="0455359F" w:rsidR="009A0095" w:rsidRPr="00765BCB" w:rsidRDefault="009A0095" w:rsidP="009A0095">
                    <w:pPr>
                      <w:rPr>
                        <w:color w:val="FF0000"/>
                        <w:sz w:val="48"/>
                        <w:szCs w:val="48"/>
                      </w:rPr>
                    </w:pPr>
                  </w:p>
                </w:txbxContent>
              </v:textbox>
            </v:shape>
          </w:pict>
        </mc:Fallback>
      </mc:AlternateContent>
    </w:r>
    <w:r w:rsidR="004427FF">
      <w:rPr>
        <w:noProof/>
      </w:rPr>
      <w:drawing>
        <wp:inline distT="0" distB="0" distL="0" distR="0" wp14:anchorId="42F25264" wp14:editId="654FAB08">
          <wp:extent cx="1447800" cy="58280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285" cy="589034"/>
                  </a:xfrm>
                  <a:prstGeom prst="rect">
                    <a:avLst/>
                  </a:prstGeom>
                  <a:noFill/>
                </pic:spPr>
              </pic:pic>
            </a:graphicData>
          </a:graphic>
        </wp:inline>
      </w:drawing>
    </w:r>
    <w:r w:rsidRPr="009A0095">
      <w:rPr>
        <w:rFonts w:ascii="Times New (W1)" w:eastAsia="Times New Roman" w:hAnsi="Times New (W1)" w:cstheme="minorHAnsi"/>
        <w:noProof/>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74DC" w14:textId="77777777" w:rsidR="00CE59E7" w:rsidRDefault="00CE59E7" w:rsidP="00AB3695">
    <w:pPr>
      <w:pStyle w:val="Header"/>
      <w:jc w:val="center"/>
    </w:pPr>
  </w:p>
  <w:p w14:paraId="77DBE280" w14:textId="77777777" w:rsidR="00CE59E7" w:rsidRDefault="00993CFC" w:rsidP="00AB3695">
    <w:pPr>
      <w:pStyle w:val="Header"/>
      <w:jc w:val="center"/>
    </w:pPr>
    <w:r>
      <w:rPr>
        <w:noProof/>
      </w:rPr>
      <w:drawing>
        <wp:inline distT="0" distB="0" distL="0" distR="0" wp14:anchorId="3C61308B" wp14:editId="779007C7">
          <wp:extent cx="2769089" cy="1097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HS Logo - 2016 - PNG.png"/>
                  <pic:cNvPicPr/>
                </pic:nvPicPr>
                <pic:blipFill>
                  <a:blip r:embed="rId1">
                    <a:extLst>
                      <a:ext uri="{28A0092B-C50C-407E-A947-70E740481C1C}">
                        <a14:useLocalDpi xmlns:a14="http://schemas.microsoft.com/office/drawing/2010/main" val="0"/>
                      </a:ext>
                    </a:extLst>
                  </a:blip>
                  <a:stretch>
                    <a:fillRect/>
                  </a:stretch>
                </pic:blipFill>
                <pic:spPr>
                  <a:xfrm>
                    <a:off x="0" y="0"/>
                    <a:ext cx="2769089" cy="1097280"/>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4320"/>
      <w:gridCol w:w="2425"/>
    </w:tblGrid>
    <w:tr w:rsidR="00CE59E7" w14:paraId="19FC2D13" w14:textId="77777777" w:rsidTr="00CE59E7">
      <w:tc>
        <w:tcPr>
          <w:tcW w:w="2605" w:type="dxa"/>
        </w:tcPr>
        <w:p w14:paraId="498D4CC0" w14:textId="77777777" w:rsidR="00CE59E7" w:rsidRPr="00CE59E7" w:rsidRDefault="00CE59E7" w:rsidP="00AB3695">
          <w:pPr>
            <w:pStyle w:val="Header"/>
            <w:jc w:val="center"/>
            <w:rPr>
              <w:sz w:val="24"/>
              <w:szCs w:val="24"/>
            </w:rPr>
          </w:pPr>
          <w:r w:rsidRPr="00CE59E7">
            <w:rPr>
              <w:sz w:val="24"/>
              <w:szCs w:val="24"/>
            </w:rPr>
            <w:t>Old State Capitol</w:t>
          </w:r>
        </w:p>
        <w:p w14:paraId="4CC62C27" w14:textId="77777777" w:rsidR="00CE59E7" w:rsidRPr="00CE59E7" w:rsidRDefault="00CE59E7" w:rsidP="00CE59E7">
          <w:pPr>
            <w:pStyle w:val="Header"/>
            <w:jc w:val="center"/>
            <w:rPr>
              <w:sz w:val="24"/>
              <w:szCs w:val="24"/>
            </w:rPr>
          </w:pPr>
          <w:r w:rsidRPr="00CE59E7">
            <w:rPr>
              <w:sz w:val="24"/>
              <w:szCs w:val="24"/>
            </w:rPr>
            <w:t xml:space="preserve">and </w:t>
          </w:r>
          <w:r>
            <w:rPr>
              <w:sz w:val="24"/>
              <w:szCs w:val="24"/>
            </w:rPr>
            <w:t>P</w:t>
          </w:r>
          <w:r w:rsidRPr="00CE59E7">
            <w:rPr>
              <w:sz w:val="24"/>
              <w:szCs w:val="24"/>
            </w:rPr>
            <w:t xml:space="preserve">ublic </w:t>
          </w:r>
          <w:r>
            <w:rPr>
              <w:sz w:val="24"/>
              <w:szCs w:val="24"/>
            </w:rPr>
            <w:t>S</w:t>
          </w:r>
          <w:r w:rsidRPr="00CE59E7">
            <w:rPr>
              <w:sz w:val="24"/>
              <w:szCs w:val="24"/>
            </w:rPr>
            <w:t>quare</w:t>
          </w:r>
        </w:p>
      </w:tc>
      <w:tc>
        <w:tcPr>
          <w:tcW w:w="4320" w:type="dxa"/>
        </w:tcPr>
        <w:p w14:paraId="6998BC2B" w14:textId="77777777" w:rsidR="00CE59E7" w:rsidRPr="00CE59E7" w:rsidRDefault="00CE59E7" w:rsidP="00CE59E7">
          <w:pPr>
            <w:pStyle w:val="Header"/>
            <w:jc w:val="center"/>
            <w:rPr>
              <w:sz w:val="24"/>
              <w:szCs w:val="24"/>
            </w:rPr>
          </w:pPr>
          <w:r w:rsidRPr="00CE59E7">
            <w:rPr>
              <w:sz w:val="24"/>
              <w:szCs w:val="24"/>
            </w:rPr>
            <w:t>Thomas D. Clark</w:t>
          </w:r>
        </w:p>
        <w:p w14:paraId="23779BF5" w14:textId="77777777" w:rsidR="00CE59E7" w:rsidRPr="00CE59E7" w:rsidRDefault="00CE59E7" w:rsidP="00CE59E7">
          <w:pPr>
            <w:pStyle w:val="Header"/>
            <w:jc w:val="center"/>
            <w:rPr>
              <w:sz w:val="24"/>
              <w:szCs w:val="24"/>
            </w:rPr>
          </w:pPr>
          <w:r w:rsidRPr="00CE59E7">
            <w:rPr>
              <w:sz w:val="24"/>
              <w:szCs w:val="24"/>
            </w:rPr>
            <w:t xml:space="preserve">Kentucky History </w:t>
          </w:r>
          <w:r>
            <w:rPr>
              <w:sz w:val="24"/>
              <w:szCs w:val="24"/>
            </w:rPr>
            <w:t>Center</w:t>
          </w:r>
        </w:p>
      </w:tc>
      <w:tc>
        <w:tcPr>
          <w:tcW w:w="2425" w:type="dxa"/>
        </w:tcPr>
        <w:p w14:paraId="3EA6D3C8" w14:textId="77777777" w:rsidR="00CE59E7" w:rsidRPr="00CE59E7" w:rsidRDefault="00CE59E7" w:rsidP="00AB3695">
          <w:pPr>
            <w:pStyle w:val="Header"/>
            <w:jc w:val="center"/>
            <w:rPr>
              <w:sz w:val="24"/>
              <w:szCs w:val="24"/>
            </w:rPr>
          </w:pPr>
          <w:r w:rsidRPr="00CE59E7">
            <w:rPr>
              <w:sz w:val="24"/>
              <w:szCs w:val="24"/>
            </w:rPr>
            <w:t>Kentucky Military</w:t>
          </w:r>
        </w:p>
        <w:p w14:paraId="211767F7" w14:textId="77777777" w:rsidR="00CE59E7" w:rsidRPr="00CE59E7" w:rsidRDefault="00CE59E7" w:rsidP="00AB3695">
          <w:pPr>
            <w:pStyle w:val="Header"/>
            <w:jc w:val="center"/>
            <w:rPr>
              <w:sz w:val="24"/>
              <w:szCs w:val="24"/>
            </w:rPr>
          </w:pPr>
          <w:r w:rsidRPr="00CE59E7">
            <w:rPr>
              <w:sz w:val="24"/>
              <w:szCs w:val="24"/>
            </w:rPr>
            <w:t>History Museum</w:t>
          </w:r>
        </w:p>
      </w:tc>
    </w:tr>
  </w:tbl>
  <w:p w14:paraId="7A59EA2C" w14:textId="77777777" w:rsidR="00AB3695" w:rsidRDefault="00AB3695" w:rsidP="00AB369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97E91"/>
    <w:multiLevelType w:val="multilevel"/>
    <w:tmpl w:val="C0EC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1609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zMDczNTO1MLE0MTJW0lEKTi0uzszPAykwqgUA7tf7wSwAAAA="/>
  </w:docVars>
  <w:rsids>
    <w:rsidRoot w:val="00C15A22"/>
    <w:rsid w:val="000A6B55"/>
    <w:rsid w:val="001C4E61"/>
    <w:rsid w:val="001E5DA2"/>
    <w:rsid w:val="00202B99"/>
    <w:rsid w:val="00346A24"/>
    <w:rsid w:val="003521D8"/>
    <w:rsid w:val="00356C1B"/>
    <w:rsid w:val="003B592C"/>
    <w:rsid w:val="003C30A0"/>
    <w:rsid w:val="003F20D0"/>
    <w:rsid w:val="004153EC"/>
    <w:rsid w:val="004427FF"/>
    <w:rsid w:val="004928B0"/>
    <w:rsid w:val="004C3416"/>
    <w:rsid w:val="004F0483"/>
    <w:rsid w:val="0055378B"/>
    <w:rsid w:val="005E4AFB"/>
    <w:rsid w:val="00635646"/>
    <w:rsid w:val="006713E3"/>
    <w:rsid w:val="006D444E"/>
    <w:rsid w:val="007011CD"/>
    <w:rsid w:val="00765BCB"/>
    <w:rsid w:val="007E1C4D"/>
    <w:rsid w:val="007F3F77"/>
    <w:rsid w:val="008339C6"/>
    <w:rsid w:val="00851F3D"/>
    <w:rsid w:val="00874E86"/>
    <w:rsid w:val="00932702"/>
    <w:rsid w:val="00993CFC"/>
    <w:rsid w:val="009A0095"/>
    <w:rsid w:val="009D28E2"/>
    <w:rsid w:val="00AB3695"/>
    <w:rsid w:val="00B072DC"/>
    <w:rsid w:val="00C15A22"/>
    <w:rsid w:val="00CE59E7"/>
    <w:rsid w:val="00E559BB"/>
    <w:rsid w:val="00F47D6B"/>
    <w:rsid w:val="00F933ED"/>
    <w:rsid w:val="00FA28BD"/>
    <w:rsid w:val="00FC3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2B0DB4"/>
  <w15:chartTrackingRefBased/>
  <w15:docId w15:val="{86186D95-4F0E-449B-B682-DAEF8261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B55"/>
  </w:style>
  <w:style w:type="paragraph" w:styleId="Heading2">
    <w:name w:val="heading 2"/>
    <w:basedOn w:val="Normal"/>
    <w:link w:val="Heading2Char"/>
    <w:uiPriority w:val="9"/>
    <w:qFormat/>
    <w:rsid w:val="000A6B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A6B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D6B"/>
  </w:style>
  <w:style w:type="paragraph" w:styleId="Footer">
    <w:name w:val="footer"/>
    <w:basedOn w:val="Normal"/>
    <w:link w:val="FooterChar"/>
    <w:uiPriority w:val="99"/>
    <w:unhideWhenUsed/>
    <w:rsid w:val="00F47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D6B"/>
  </w:style>
  <w:style w:type="paragraph" w:styleId="ListParagraph">
    <w:name w:val="List Paragraph"/>
    <w:basedOn w:val="Normal"/>
    <w:uiPriority w:val="34"/>
    <w:qFormat/>
    <w:rsid w:val="00C15A22"/>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765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35646"/>
    <w:rPr>
      <w:b/>
      <w:bCs/>
    </w:rPr>
  </w:style>
  <w:style w:type="character" w:styleId="Hyperlink">
    <w:name w:val="Hyperlink"/>
    <w:basedOn w:val="DefaultParagraphFont"/>
    <w:uiPriority w:val="99"/>
    <w:unhideWhenUsed/>
    <w:rsid w:val="00635646"/>
    <w:rPr>
      <w:color w:val="0000FF"/>
      <w:u w:val="single"/>
    </w:rPr>
  </w:style>
  <w:style w:type="character" w:styleId="UnresolvedMention">
    <w:name w:val="Unresolved Mention"/>
    <w:basedOn w:val="DefaultParagraphFont"/>
    <w:uiPriority w:val="99"/>
    <w:semiHidden/>
    <w:unhideWhenUsed/>
    <w:rsid w:val="00635646"/>
    <w:rPr>
      <w:color w:val="605E5C"/>
      <w:shd w:val="clear" w:color="auto" w:fill="E1DFDD"/>
    </w:rPr>
  </w:style>
  <w:style w:type="character" w:styleId="FollowedHyperlink">
    <w:name w:val="FollowedHyperlink"/>
    <w:basedOn w:val="DefaultParagraphFont"/>
    <w:uiPriority w:val="99"/>
    <w:semiHidden/>
    <w:unhideWhenUsed/>
    <w:rsid w:val="007F3F77"/>
    <w:rPr>
      <w:color w:val="954F72" w:themeColor="followedHyperlink"/>
      <w:u w:val="single"/>
    </w:rPr>
  </w:style>
  <w:style w:type="character" w:customStyle="1" w:styleId="Heading2Char">
    <w:name w:val="Heading 2 Char"/>
    <w:basedOn w:val="DefaultParagraphFont"/>
    <w:link w:val="Heading2"/>
    <w:uiPriority w:val="9"/>
    <w:rsid w:val="000A6B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A6B55"/>
    <w:rPr>
      <w:rFonts w:ascii="Times New Roman" w:eastAsia="Times New Roman" w:hAnsi="Times New Roman" w:cs="Times New Roman"/>
      <w:b/>
      <w:bCs/>
      <w:sz w:val="27"/>
      <w:szCs w:val="27"/>
    </w:rPr>
  </w:style>
  <w:style w:type="paragraph" w:styleId="NormalWeb">
    <w:name w:val="Normal (Web)"/>
    <w:basedOn w:val="Normal"/>
    <w:uiPriority w:val="99"/>
    <w:unhideWhenUsed/>
    <w:rsid w:val="000A6B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6B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ls.gov/grants/available/museums-america" TargetMode="External"/><Relationship Id="rId13" Type="http://schemas.openxmlformats.org/officeDocument/2006/relationships/hyperlink" Target="https://www.neh.gov/grants/preservation/sustaining-cultural-heritage-collections" TargetMode="External"/><Relationship Id="rId18" Type="http://schemas.openxmlformats.org/officeDocument/2006/relationships/hyperlink" Target="http://costumesocietyamerica.com/resources/grants-awards-and-honors/csa-collection-gran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forum.savingplaces.org/build/funding/grant-seekers/specialprograms/bruckheimer" TargetMode="External"/><Relationship Id="rId7" Type="http://schemas.openxmlformats.org/officeDocument/2006/relationships/hyperlink" Target="https://www.imls.gov/grants/available/inspire-grants-small-museums" TargetMode="External"/><Relationship Id="rId12" Type="http://schemas.openxmlformats.org/officeDocument/2006/relationships/hyperlink" Target="https://www.neh.gov/grants/preservation/preservation-assistance-grants-smaller-institutions" TargetMode="External"/><Relationship Id="rId17" Type="http://schemas.openxmlformats.org/officeDocument/2006/relationships/hyperlink" Target="http://costumesocietyamerica.com/resources/grants-awards-and-honors/small-museum-collection-care-gran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ia-web.org/activities/preservation-grants/" TargetMode="External"/><Relationship Id="rId20" Type="http://schemas.openxmlformats.org/officeDocument/2006/relationships/hyperlink" Target="https://history.ky.gov/participate/support-local-histo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mls.gov/grants/available/museums-empowered-professional-development-opportunities-museum-staff"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nps.gov/preservation-grants/sat/index.html" TargetMode="External"/><Relationship Id="rId23" Type="http://schemas.openxmlformats.org/officeDocument/2006/relationships/header" Target="header1.xml"/><Relationship Id="rId10" Type="http://schemas.openxmlformats.org/officeDocument/2006/relationships/hyperlink" Target="https://www.imls.gov/grants/available/museum-grants-african-american-history-and-culture" TargetMode="External"/><Relationship Id="rId19" Type="http://schemas.openxmlformats.org/officeDocument/2006/relationships/hyperlink" Target="https://publicgardens.org/public-garden-funding-resources" TargetMode="External"/><Relationship Id="rId4" Type="http://schemas.openxmlformats.org/officeDocument/2006/relationships/webSettings" Target="webSettings.xml"/><Relationship Id="rId9" Type="http://schemas.openxmlformats.org/officeDocument/2006/relationships/hyperlink" Target="https://imls.gov/programs/native-americannative-hawaiian-museum-services" TargetMode="External"/><Relationship Id="rId14" Type="http://schemas.openxmlformats.org/officeDocument/2006/relationships/hyperlink" Target="https://www.neh.gov/grants/preservation/infrastructure-and-capacity-building-challenge-grants" TargetMode="External"/><Relationship Id="rId22" Type="http://schemas.openxmlformats.org/officeDocument/2006/relationships/hyperlink" Target="http://forum.savingplaces.org/build/funding/grant-seekers/forum.savingplaces.org/Bruckheimer"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alvey\Documents\Custom%20Office%20Templates\KH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KHS letterhead</Template>
  <TotalTime>15</TotalTime>
  <Pages>3</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scott.alvey</dc:creator>
  <cp:keywords/>
  <dc:description/>
  <cp:lastModifiedBy>Mahnken, Hannah (Historical Society)</cp:lastModifiedBy>
  <cp:revision>6</cp:revision>
  <cp:lastPrinted>2023-06-02T12:06:00Z</cp:lastPrinted>
  <dcterms:created xsi:type="dcterms:W3CDTF">2023-05-22T13:14:00Z</dcterms:created>
  <dcterms:modified xsi:type="dcterms:W3CDTF">2023-06-02T12:06:00Z</dcterms:modified>
</cp:coreProperties>
</file>